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002B5B"/>
          <w:sz w:val="48"/>
        </w:rPr>
        <w:t>TRAINING COURSE OUTLINE</w:t>
      </w:r>
    </w:p>
    <w:p>
      <w:pPr>
        <w:spacing w:after="480"/>
        <w:jc w:val="center"/>
      </w:pPr>
      <w:r>
        <w:rPr>
          <w:rFonts w:ascii="Arial" w:hAnsi="Arial"/>
          <w:color w:val="4682B4"/>
          <w:sz w:val="28"/>
        </w:rPr>
        <w:t>Web Content Management using WordPress for Local Government Units (LGUs)</w:t>
      </w:r>
    </w:p>
    <w:p>
      <w:pPr>
        <w:keepNext/>
        <w:spacing w:before="360" w:after="120"/>
      </w:pPr>
      <w:r>
        <w:rPr>
          <w:rFonts w:ascii="Arial" w:hAnsi="Arial"/>
          <w:b/>
          <w:color w:val="002B5B"/>
          <w:sz w:val="28"/>
        </w:rPr>
        <w:t>📅 Day 1: Introduction to WordPress &amp; Local Development</w:t>
      </w:r>
    </w:p>
    <w:p>
      <w:pPr>
        <w:spacing w:after="160" w:line="276" w:lineRule="auto"/>
      </w:pPr>
      <w:r>
        <w:rPr>
          <w:rFonts w:ascii="Arial" w:hAnsi="Arial"/>
          <w:b/>
          <w:color w:val="2B2B2B"/>
          <w:sz w:val="22"/>
        </w:rPr>
        <w:t xml:space="preserve">Objective: </w:t>
      </w:r>
      <w:r>
        <w:rPr>
          <w:rFonts w:ascii="Arial" w:hAnsi="Arial"/>
          <w:i/>
          <w:color w:val="2B2B2B"/>
          <w:sz w:val="22"/>
        </w:rPr>
        <w:t>Get every participant a working local environment and familiarize them with the core WordPress ecosystem.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1. Introduction to Web Content Management Systems (CMS)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What is a CMS and why DICT mandates standardized web platforms.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WordPress.org (Self-hosted) vs. WordPress.com (Commercial).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anatomy of a website: Domain, Hosting, and the Database.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2. Setting Up the Local Development Environment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Introduction to LocalWP (Why we use it for training).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Step-by-step installation and creating a new local site (e.g., mysubaybayangbayan.local).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Understanding the local dashboard: One-click admin logins, PHP versions, and database access (Adminer).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3. Navigating the Native WordPress Interface (The Dashboard)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Admin Bar and Sidebar: A guided tour of Dashboard, Posts, Media, Pages, Comments, Appearance, Plugins, Users, Tools, and Settings.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General Settings Deep-Dive: Configuring Site Title, Tagline, Timezone (UTC+8 for the Philippines), and Permalinks (setting it to 'Post name' for SEO).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User Roles and Permissions: Administrator vs. Editor vs. Author (crucial for LGU approval workflows).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4. Content Creation: Posts vs. Pages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Publishing Your First Page:</w:t>
      </w:r>
    </w:p>
    <w:p>
      <w:pPr>
        <w:spacing w:after="80" w:line="276" w:lineRule="auto"/>
        <w:ind w:left="360"/>
      </w:pPr>
      <w:r>
        <w:rPr>
          <w:rFonts w:ascii="Arial" w:hAnsi="Arial"/>
          <w:i w:val="0"/>
          <w:color w:val="2B2B2B"/>
          <w:sz w:val="22"/>
        </w:rPr>
        <w:t>Creating static content (e.g., "About Our LGU", "Office of the Mayor", "Citizen's Charter").</w:t>
      </w:r>
    </w:p>
    <w:p>
      <w:pPr>
        <w:spacing w:after="80" w:line="276" w:lineRule="auto"/>
        <w:ind w:left="360"/>
      </w:pPr>
      <w:r>
        <w:rPr>
          <w:rFonts w:ascii="Arial" w:hAnsi="Arial"/>
          <w:i w:val="0"/>
          <w:color w:val="2B2B2B"/>
          <w:sz w:val="22"/>
        </w:rPr>
        <w:t>Introduction to the Block Editor (Gutenberg): Paragraphs, Headings, Images, and File Downloads (PDFs for ordinances).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Publishing Your First Post:</w:t>
      </w:r>
    </w:p>
    <w:p>
      <w:pPr>
        <w:spacing w:after="80" w:line="276" w:lineRule="auto"/>
        <w:ind w:left="360"/>
      </w:pPr>
      <w:r>
        <w:rPr>
          <w:rFonts w:ascii="Arial" w:hAnsi="Arial"/>
          <w:i w:val="0"/>
          <w:color w:val="2B2B2B"/>
          <w:sz w:val="22"/>
        </w:rPr>
        <w:t>Creating dynamic content (e.g., "LGU News", "Executive Orders", "Bayanihan Updates").</w:t>
      </w:r>
    </w:p>
    <w:p>
      <w:pPr>
        <w:spacing w:after="80" w:line="276" w:lineRule="auto"/>
        <w:ind w:left="360"/>
      </w:pPr>
      <w:r>
        <w:rPr>
          <w:rFonts w:ascii="Arial" w:hAnsi="Arial"/>
          <w:i w:val="0"/>
          <w:color w:val="2B2B2B"/>
          <w:sz w:val="22"/>
        </w:rPr>
        <w:t>Organizing content: Categories vs. Tags (How to structure LGU transparency boards).</w:t>
      </w:r>
    </w:p>
    <w:p>
      <w:pPr>
        <w:spacing w:after="80" w:line="276" w:lineRule="auto"/>
        <w:ind w:left="360"/>
      </w:pPr>
      <w:r>
        <w:rPr>
          <w:rFonts w:ascii="Arial" w:hAnsi="Arial"/>
          <w:i w:val="0"/>
          <w:color w:val="2B2B2B"/>
          <w:sz w:val="22"/>
        </w:rPr>
        <w:t>Setting Featured Images and Excerpts.</w:t>
      </w:r>
    </w:p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F4F7F9"/>
            <w:tcBorders>
              <w:top w:val="none"/>
              <w:left w:val="single" w:sz="24" w:space="0" w:color="002B5B"/>
              <w:bottom w:val="none"/>
              <w:right w:val="none"/>
            </w:tcBorders>
          </w:tcPr>
          <w:p>
            <w:pPr>
              <w:spacing w:before="120" w:after="120"/>
              <w:ind w:left="216" w:right="216"/>
            </w:pPr>
            <w:r>
              <w:rPr>
                <w:rFonts w:ascii="Arial" w:hAnsi="Arial"/>
                <w:i/>
                <w:color w:val="2B2B2B"/>
                <w:sz w:val="21"/>
              </w:rPr>
              <w:t>🛠️ Day 1 Hands-On Exercise: Participants install LocalWP, launch their site, change settings to Philippine timezone, and create an "About Us" page and their first local news post.</w:t>
            </w:r>
          </w:p>
        </w:tc>
      </w:tr>
    </w:tbl>
    <w:p>
      <w:pPr>
        <w:keepNext/>
        <w:spacing w:before="480" w:after="120"/>
      </w:pPr>
      <w:r>
        <w:rPr>
          <w:rFonts w:ascii="Arial" w:hAnsi="Arial"/>
          <w:b/>
          <w:color w:val="002B5B"/>
          <w:sz w:val="28"/>
        </w:rPr>
        <w:t>📅 Day 2: The Government Web Template (GWT)</w:t>
      </w:r>
    </w:p>
    <w:p>
      <w:pPr>
        <w:spacing w:after="160" w:line="276" w:lineRule="auto"/>
      </w:pPr>
      <w:r>
        <w:rPr>
          <w:rFonts w:ascii="Arial" w:hAnsi="Arial"/>
          <w:b/>
          <w:color w:val="2B2B2B"/>
          <w:sz w:val="22"/>
        </w:rPr>
        <w:t xml:space="preserve">Objective: </w:t>
      </w:r>
      <w:r>
        <w:rPr>
          <w:rFonts w:ascii="Arial" w:hAnsi="Arial"/>
          <w:i/>
          <w:color w:val="2B2B2B"/>
          <w:sz w:val="22"/>
        </w:rPr>
        <w:t>Understand and implement the mandated standard for Philippine government websites.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1. Introduction to the Government Web Template (GWT)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What is the GWT and why is it legally mandated? (Administrative Order No. 39).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core elements of a GWT: The Masthead, the Republic Emblem, the Transparency Seal, and the Footer.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2. Installing and Activating the LGU/GWT Theme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How to upload and install the DICT-approved GWT theme package.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Configuring Child Themes (Why we don't edit the parent theme directly).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3. Navigating the Customizer &amp; Template Structures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Transparency Seal: Proper placement, required documents (e.g., Annual Budget, Procurement Reports, SALN tracking), and compliance check.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Standard Header &amp; Footer: Configuring the Philippine Standard Time (PST) gadget, official logos, and mandatory links (GOV.PH, President's page, etc.).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Customizing Layouts: Configuring the sidebar for standard LGU widgets (e.g., Weather, Local Calendar, Emergency Hotlines).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Setting up the Primary, Secondary, and Footer Navigation Menus.</w:t>
      </w:r>
    </w:p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F4F7F9"/>
            <w:tcBorders>
              <w:top w:val="none"/>
              <w:left w:val="single" w:sz="24" w:space="0" w:color="002B5B"/>
              <w:bottom w:val="none"/>
              <w:right w:val="none"/>
            </w:tcBorders>
          </w:tcPr>
          <w:p>
            <w:pPr>
              <w:spacing w:before="120" w:after="120"/>
              <w:ind w:left="216" w:right="216"/>
            </w:pPr>
            <w:r>
              <w:rPr>
                <w:rFonts w:ascii="Arial" w:hAnsi="Arial"/>
                <w:i/>
                <w:color w:val="2B2B2B"/>
                <w:sz w:val="21"/>
              </w:rPr>
              <w:t>🛠️ Day 2 Hands-On Exercise: Participants install the GWT theme, configure the mandatory "Transparency Seal" widget, upload their LGU’s official seal, and link the Philippine Standard Time plugin.</w:t>
            </w:r>
          </w:p>
        </w:tc>
      </w:tr>
    </w:tbl>
    <w:p>
      <w:pPr>
        <w:keepNext/>
        <w:spacing w:before="480" w:after="120"/>
      </w:pPr>
      <w:r>
        <w:rPr>
          <w:rFonts w:ascii="Arial" w:hAnsi="Arial"/>
          <w:b/>
          <w:color w:val="002B5B"/>
          <w:sz w:val="28"/>
        </w:rPr>
        <w:t>📅 Day 3: Extending Functionality Using Plugins</w:t>
      </w:r>
    </w:p>
    <w:p>
      <w:pPr>
        <w:spacing w:after="160" w:line="276" w:lineRule="auto"/>
      </w:pPr>
      <w:r>
        <w:rPr>
          <w:rFonts w:ascii="Arial" w:hAnsi="Arial"/>
          <w:b/>
          <w:color w:val="2B2B2B"/>
          <w:sz w:val="22"/>
        </w:rPr>
        <w:t xml:space="preserve">Objective: </w:t>
      </w:r>
      <w:r>
        <w:rPr>
          <w:rFonts w:ascii="Arial" w:hAnsi="Arial"/>
          <w:i/>
          <w:color w:val="2B2B2B"/>
          <w:sz w:val="22"/>
        </w:rPr>
        <w:t>Teach participants how to safely scale their website's features using DICT-approved plugins.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1. WordPress Plugins 101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What are plugins and how do they interact with themes and core WordPress?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How to install: Searching the WordPress repository vs. Uploading .zip files.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golden rule of plugins: Quality over quantity (Why too many plugins slow down LGU sites).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2. Choosing from the List of Approved Government Plugins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Document &amp; File Management: Handling PDF uploads for Ordinances, Resolutions, and Bidding Documents (e.g., Embed PDF Viewer or Download Monitor).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Forms &amp; Citizen Feedback: Creating contact forms, business permit inquiries, and feedback mechanisms (e.g., WPForms or Contact Form 7).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Search &amp; Navigation: Improving site search so citizens can easily find specific public documents.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Performance Optimization: Basic caching plugins approved for government servers to handle high traffic during typhoons or events.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3. Plugin Maintenance and Troubleshooting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How to safely update plugins.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What to do when a plugin breaks the site (The "White Screen of Death" and Safe Mode).</w:t>
      </w:r>
    </w:p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F4F7F9"/>
            <w:tcBorders>
              <w:top w:val="none"/>
              <w:left w:val="single" w:sz="24" w:space="0" w:color="002B5B"/>
              <w:bottom w:val="none"/>
              <w:right w:val="none"/>
            </w:tcBorders>
          </w:tcPr>
          <w:p>
            <w:pPr>
              <w:spacing w:before="120" w:after="120"/>
              <w:ind w:left="216" w:right="216"/>
            </w:pPr>
            <w:r>
              <w:rPr>
                <w:rFonts w:ascii="Arial" w:hAnsi="Arial"/>
                <w:i/>
                <w:color w:val="2B2B2B"/>
                <w:sz w:val="21"/>
              </w:rPr>
              <w:t>🛠️ Day 3 Hands-On Exercise: Participants build a functioning "Citizen Feedback &amp; Contact Form" and set up a downloadable archive for "LGU Ordinances 2026" using file management blocks/plugins.</w:t>
            </w:r>
          </w:p>
        </w:tc>
      </w:tr>
    </w:tbl>
    <w:p>
      <w:pPr>
        <w:keepNext/>
        <w:spacing w:before="480" w:after="120"/>
      </w:pPr>
      <w:r>
        <w:rPr>
          <w:rFonts w:ascii="Arial" w:hAnsi="Arial"/>
          <w:b/>
          <w:color w:val="002B5B"/>
          <w:sz w:val="28"/>
        </w:rPr>
        <w:t>📅 Day 4: Design Considerations &amp; Accessibility (WCAG 2.0)</w:t>
      </w:r>
    </w:p>
    <w:p>
      <w:pPr>
        <w:spacing w:after="160" w:line="276" w:lineRule="auto"/>
      </w:pPr>
      <w:r>
        <w:rPr>
          <w:rFonts w:ascii="Arial" w:hAnsi="Arial"/>
          <w:b/>
          <w:color w:val="2B2B2B"/>
          <w:sz w:val="22"/>
        </w:rPr>
        <w:t xml:space="preserve">Objective: </w:t>
      </w:r>
      <w:r>
        <w:rPr>
          <w:rFonts w:ascii="Arial" w:hAnsi="Arial"/>
          <w:i/>
          <w:color w:val="2B2B2B"/>
          <w:sz w:val="22"/>
        </w:rPr>
        <w:t>Ensure LGU websites are highly usable, visually professional, and accessible to persons with disabilities (PWDs).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1. Aesthetics and Layout for LGU Websites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Visual Hierarchy: Prioritizing information citizens actually look for (e.g., Emergency alerts, citizen's charter, contact numbers) over political graphics.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Color Theory in Government: Sticking to the official LGU/National color palette; avoiding overly bright or unreadable backgrounds.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Typography: Selecting web-safe, readable fonts for public consumption.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Optimizing images for the web: Resizing large camera photos before uploading to save server space and bandwidth.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2. Web Content Accessibility Guidelines (WCAG 2.0) Compliance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Understanding Republic Act No. 7277 (Magna Carta for Disabled Persons) in the context of digital space.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Perceivable: Adding Alt Text to images for screen readers; ensuring text contrast ratios pass standard audits.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Operable: Keyboard navigation friendliness (ensuring a user can navigate the LGU site without a mouse).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Understandable: Making sure error messages on forms are clear and plain-text language is used.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Using automated tools (like the WAVE browser extension) to test their local site for accessibility errors.</w:t>
      </w:r>
    </w:p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F4F7F9"/>
            <w:tcBorders>
              <w:top w:val="none"/>
              <w:left w:val="single" w:sz="24" w:space="0" w:color="002B5B"/>
              <w:bottom w:val="none"/>
              <w:right w:val="none"/>
            </w:tcBorders>
          </w:tcPr>
          <w:p>
            <w:pPr>
              <w:spacing w:before="120" w:after="120"/>
              <w:ind w:left="216" w:right="216"/>
            </w:pPr>
            <w:r>
              <w:rPr>
                <w:rFonts w:ascii="Arial" w:hAnsi="Arial"/>
                <w:i/>
                <w:color w:val="2B2B2B"/>
                <w:sz w:val="21"/>
              </w:rPr>
              <w:t>🛠️ Day 4 Hands-On Exercise: Participants audit their own homepages using an accessibility extension, fix missing Alt Text on all images, and adjust text/background colors to meet compliance contrast standards.</w:t>
            </w:r>
          </w:p>
        </w:tc>
      </w:tr>
    </w:tbl>
    <w:p>
      <w:pPr>
        <w:keepNext/>
        <w:spacing w:before="480" w:after="120"/>
      </w:pPr>
      <w:r>
        <w:rPr>
          <w:rFonts w:ascii="Arial" w:hAnsi="Arial"/>
          <w:b/>
          <w:color w:val="002B5B"/>
          <w:sz w:val="28"/>
        </w:rPr>
        <w:t>📅 Day 5: Website Security &amp; Backup Best Practices</w:t>
      </w:r>
    </w:p>
    <w:p>
      <w:pPr>
        <w:spacing w:after="160" w:line="276" w:lineRule="auto"/>
      </w:pPr>
      <w:r>
        <w:rPr>
          <w:rFonts w:ascii="Arial" w:hAnsi="Arial"/>
          <w:b/>
          <w:color w:val="2B2B2B"/>
          <w:sz w:val="22"/>
        </w:rPr>
        <w:t xml:space="preserve">Objective: </w:t>
      </w:r>
      <w:r>
        <w:rPr>
          <w:rFonts w:ascii="Arial" w:hAnsi="Arial"/>
          <w:i/>
          <w:color w:val="2B2B2B"/>
          <w:sz w:val="22"/>
        </w:rPr>
        <w:t>Protect government sites from defacement, hacking, and data loss.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1. Basic Web Security in General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reality of cyber threats against LGU websites (Defacement, DDoS, Phishing).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The Principle of Least Privilege: Properly assigning User Roles (Don't give everyone an Administrator account).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Password Hygiene: Enforcing strong, unique passwords for all LGU staff web accounts.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2. WordPress Specific Hardening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Keeping Core, Themes, and Plugins updated (The number one defense against hacks).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Changing the default admin username.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Limiting Login Attempts to prevent brute-force attacks.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Implementing Two-Factor Authentication (2FA) for LGU administrators.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3. Backup and Recovery Strategies (The Ultimate Safety Net)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Why backups are non-negotiable before making any system or theme changes.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How to create manual backups via LocalWP.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Using automated backup plugins (e.g., UpdraftPlus) to back up to secure cloud storage.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Disaster Recovery: Step-by-step guide on how to restore an LGU site from a backup file if it gets defaced or corrupted.</w:t>
      </w:r>
    </w:p>
    <w:p>
      <w:pPr>
        <w:keepNext/>
        <w:spacing w:before="240" w:after="120"/>
      </w:pPr>
      <w:r>
        <w:rPr>
          <w:rFonts w:ascii="Arial" w:hAnsi="Arial"/>
          <w:b/>
          <w:color w:val="4682B4"/>
          <w:sz w:val="22"/>
        </w:rPr>
        <w:t>4. Course Wrap-Up &amp; Next Steps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Migrating from LocalWP to live DICT GovCloud hosting (conceptual overview).</w:t>
      </w:r>
    </w:p>
    <w:p>
      <w:pPr>
        <w:spacing w:after="80" w:line="276" w:lineRule="auto"/>
      </w:pPr>
      <w:r>
        <w:rPr>
          <w:rFonts w:ascii="Arial" w:hAnsi="Arial"/>
          <w:i w:val="0"/>
          <w:color w:val="2B2B2B"/>
          <w:sz w:val="22"/>
        </w:rPr>
        <w:t>• Open Forum, Q&amp;A, Distribution of Certificates.</w:t>
      </w:r>
    </w:p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F4F7F9"/>
            <w:tcBorders>
              <w:top w:val="none"/>
              <w:left w:val="single" w:sz="24" w:space="0" w:color="002B5B"/>
              <w:bottom w:val="none"/>
              <w:right w:val="none"/>
            </w:tcBorders>
          </w:tcPr>
          <w:p>
            <w:pPr>
              <w:spacing w:before="120" w:after="120"/>
              <w:ind w:left="216" w:right="216"/>
            </w:pPr>
            <w:r>
              <w:rPr>
                <w:rFonts w:ascii="Arial" w:hAnsi="Arial"/>
                <w:i/>
                <w:color w:val="2B2B2B"/>
                <w:sz w:val="21"/>
              </w:rPr>
              <w:t>🛠️ Day 5 Hands-On Exercise: Participants install a security plugin, configure login limits, generate a full backup of the site they built over the week, and practice exporting it as a deployable file.</w:t>
            </w:r>
          </w:p>
        </w:tc>
      </w:tr>
    </w:tbl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